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项目名称：实验室废液处置等（第二次</w:t>
      </w:r>
      <w:bookmarkStart w:id="7" w:name="_GoBack"/>
      <w:bookmarkEnd w:id="7"/>
      <w:r>
        <w:rPr>
          <w:rFonts w:hint="eastAsia"/>
          <w:sz w:val="44"/>
          <w:szCs w:val="44"/>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项目编号：BSRMYY-YNCG-2024-09001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lang w:eastAsia="zh-CN"/>
              </w:rPr>
            </w:pPr>
            <w:r>
              <w:rPr>
                <w:rFonts w:hint="eastAsia" w:ascii="方正仿宋_GBK" w:hAnsi="方正仿宋_GBK" w:eastAsia="方正仿宋_GBK" w:cs="方正仿宋_GBK"/>
                <w:b/>
                <w:bCs/>
                <w:kern w:val="0"/>
                <w:sz w:val="28"/>
                <w:szCs w:val="28"/>
                <w:lang w:val="en-US" w:eastAsia="zh-CN"/>
              </w:rPr>
              <w:t>单价</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微软雅黑" w:hAnsi="微软雅黑" w:eastAsia="微软雅黑" w:cs="微软雅黑"/>
                <w:i w:val="0"/>
                <w:caps w:val="0"/>
                <w:color w:val="555555"/>
                <w:spacing w:val="0"/>
                <w:sz w:val="21"/>
                <w:szCs w:val="21"/>
                <w:lang w:val="en-US" w:eastAsia="zh-CN"/>
              </w:rPr>
              <w:t>实验室废液处置</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元/千克</w:t>
            </w:r>
          </w:p>
        </w:tc>
      </w:tr>
      <w:tr w14:paraId="0991F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07C741EC">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3207" w:type="pct"/>
            <w:vAlign w:val="center"/>
          </w:tcPr>
          <w:p w14:paraId="0050B8A6">
            <w:pPr>
              <w:jc w:val="center"/>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废活性炭处置</w:t>
            </w:r>
          </w:p>
        </w:tc>
        <w:tc>
          <w:tcPr>
            <w:tcW w:w="566" w:type="pct"/>
            <w:vAlign w:val="center"/>
          </w:tcPr>
          <w:p w14:paraId="7E15222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755" w:type="pct"/>
            <w:vAlign w:val="center"/>
          </w:tcPr>
          <w:p w14:paraId="2C57B49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元/千克</w:t>
            </w:r>
          </w:p>
        </w:tc>
      </w:tr>
      <w:tr w14:paraId="1B5DF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329E5AC7">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207" w:type="pct"/>
            <w:vAlign w:val="center"/>
          </w:tcPr>
          <w:p w14:paraId="35515675">
            <w:pPr>
              <w:jc w:val="center"/>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手术植入物处置</w:t>
            </w:r>
          </w:p>
        </w:tc>
        <w:tc>
          <w:tcPr>
            <w:tcW w:w="566" w:type="pct"/>
            <w:vAlign w:val="center"/>
          </w:tcPr>
          <w:p w14:paraId="1520616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755" w:type="pct"/>
            <w:vAlign w:val="center"/>
          </w:tcPr>
          <w:p w14:paraId="409569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元/千克</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p w14:paraId="663F22DE">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（一）执行标准：</w:t>
      </w:r>
    </w:p>
    <w:p w14:paraId="42078F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"http://www.mee.gov.cn/ywgz/fgbz/fl/202004/t20200430_777580.shtml"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中华人民共和国固体废物污染环境防治法</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》等有关法律法规，执行《危险废物转移管理办法》。</w:t>
      </w:r>
    </w:p>
    <w:p w14:paraId="2FD2CA71">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（二）转运要求：</w:t>
      </w:r>
    </w:p>
    <w:p w14:paraId="14CAD246">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执行危险废物转移联单制度，法律法规另有规定的除外。危险废物转移联单的格式和内容按照生态环境部制定的执行。</w:t>
      </w:r>
    </w:p>
    <w:p w14:paraId="2600EBBD">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通过国家危险废物信息管理系统（以下简称信息系统）填写、运行危险废物电子转移联单，并依照国家有关规定公开危险废物转移相关污染环境防治信息。</w:t>
      </w:r>
    </w:p>
    <w:p w14:paraId="40B62796">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（三）承运人</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i w:val="0"/>
          <w:iCs w:val="0"/>
          <w:caps w:val="0"/>
          <w:color w:val="000000"/>
          <w:spacing w:val="0"/>
          <w:sz w:val="28"/>
          <w:szCs w:val="28"/>
          <w:shd w:val="clear" w:fill="FFFFFF"/>
        </w:rPr>
        <w:t>承担危险废物运输作业任务的单位</w:t>
      </w:r>
      <w:r>
        <w:rPr>
          <w:rFonts w:hint="eastAsia" w:ascii="方正仿宋_GBK" w:hAnsi="方正仿宋_GBK" w:eastAsia="方正仿宋_GBK" w:cs="方正仿宋_GBK"/>
          <w:b/>
          <w:bCs/>
          <w:i w:val="0"/>
          <w:iCs w:val="0"/>
          <w:caps w:val="0"/>
          <w:color w:val="000000"/>
          <w:spacing w:val="0"/>
          <w:sz w:val="28"/>
          <w:szCs w:val="28"/>
          <w:shd w:val="clear" w:fill="FFFFFF"/>
          <w:lang w:eastAsia="zh-CN"/>
        </w:rPr>
        <w:t>）</w:t>
      </w:r>
      <w:r>
        <w:rPr>
          <w:rFonts w:hint="eastAsia" w:ascii="方正仿宋_GBK" w:hAnsi="方正仿宋_GBK" w:eastAsia="方正仿宋_GBK" w:cs="方正仿宋_GBK"/>
          <w:b/>
          <w:bCs/>
          <w:sz w:val="32"/>
          <w:szCs w:val="32"/>
          <w:lang w:val="en-US" w:eastAsia="zh-CN"/>
        </w:rPr>
        <w:t>要求:</w:t>
      </w:r>
    </w:p>
    <w:p w14:paraId="4EC005B3">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核实危险废物转移联单，没有转移联单的，应当拒绝运输。</w:t>
      </w:r>
    </w:p>
    <w:p w14:paraId="7EC15373">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填写、运行危险废物转移联单，在危险废物转移联单中如实填写承运人名称、运输工具及其营运证件号，以及运输起点和终点等运输相关信息，并与危险货物运单一并随运输工具携带。</w:t>
      </w:r>
    </w:p>
    <w:p w14:paraId="2F445EA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3、按照危险废物污染环境防治和危险货物运输相关规定运输危险废物，记录运输轨迹，防范危险废物丢失、包装破损、泄漏或者发生突发环境事件。</w:t>
      </w:r>
    </w:p>
    <w:p w14:paraId="6F193F0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4、将运输的危险废物运抵接受人地址，交付给危险废物转移联单上指定的接受人，并将运输情况及时告知移出人。</w:t>
      </w:r>
    </w:p>
    <w:p w14:paraId="14EEE2E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5、法律法规规定的其他义务。</w:t>
      </w:r>
    </w:p>
    <w:p w14:paraId="7ADA337D">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（四）接收人</w:t>
      </w:r>
      <w:r>
        <w:rPr>
          <w:rFonts w:hint="eastAsia" w:ascii="方正仿宋_GBK" w:hAnsi="方正仿宋_GBK" w:eastAsia="方正仿宋_GBK" w:cs="方正仿宋_GBK"/>
          <w:b/>
          <w:bCs/>
          <w:sz w:val="28"/>
          <w:szCs w:val="28"/>
          <w:lang w:val="en-US" w:eastAsia="zh-CN"/>
        </w:rPr>
        <w:t>（危险废物转移的目的地单位，即危险货物的收货人）</w:t>
      </w:r>
      <w:r>
        <w:rPr>
          <w:rFonts w:hint="eastAsia" w:ascii="方正仿宋_GBK" w:hAnsi="方正仿宋_GBK" w:eastAsia="方正仿宋_GBK" w:cs="方正仿宋_GBK"/>
          <w:b/>
          <w:bCs/>
          <w:sz w:val="32"/>
          <w:szCs w:val="32"/>
          <w:lang w:val="en-US" w:eastAsia="zh-CN"/>
        </w:rPr>
        <w:t>要求:</w:t>
      </w:r>
    </w:p>
    <w:p w14:paraId="5D31B0BA">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核实拟接受的危险废物的种类、重量（数量）、包装、识别标志等相关信息。</w:t>
      </w:r>
    </w:p>
    <w:p w14:paraId="361E54EF">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填写、运行危险废物转移联单，在危险废物转移联单中如实填写是否接受的意见，以及利用、处置方式和接受量等信息。</w:t>
      </w:r>
    </w:p>
    <w:p w14:paraId="2C7310F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3、按照国家和地方有关规定和标准，对接受的危险废物进行贮存、利用或者处置。</w:t>
      </w:r>
    </w:p>
    <w:p w14:paraId="266D8C5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4、将危险废物接受情况、利用或者处置结果及时告知移出人。</w:t>
      </w:r>
    </w:p>
    <w:p w14:paraId="70D0223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5、法律法规规定的其他义务。</w:t>
      </w:r>
    </w:p>
    <w:p w14:paraId="2744E2B5">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（五）特定资质要求:</w:t>
      </w:r>
    </w:p>
    <w:p w14:paraId="3C2015BC">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市场监督管理局审核发放的营业执照，许可项目明确危险废物经营。</w:t>
      </w:r>
    </w:p>
    <w:p w14:paraId="18AC6289">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重庆市生态环境局审批发放的《危险废物经营许可证》，核准经营方式有：收集、贮存、处置（物化、焚烧及填埋），证件在有效期内。</w:t>
      </w:r>
    </w:p>
    <w:p w14:paraId="6EA17136">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（六）其他要求:</w:t>
      </w:r>
    </w:p>
    <w:p w14:paraId="2CDA39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1、医院用于危险废物包装的包装物作为危险废物的一部分不再退还，该包装物与危险废物一并称重不计量。盛装化学品的纸箱不计重。</w:t>
      </w:r>
    </w:p>
    <w:p w14:paraId="50986CC5">
      <w:pPr>
        <w:keepNext w:val="0"/>
        <w:keepLines w:val="0"/>
        <w:pageBreakBefore w:val="0"/>
        <w:widowControl w:val="0"/>
        <w:numPr>
          <w:ilvl w:val="0"/>
          <w:numId w:val="0"/>
        </w:numPr>
        <w:kinsoku/>
        <w:wordWrap/>
        <w:overflowPunct/>
        <w:topLinePunct w:val="0"/>
        <w:autoSpaceDE/>
        <w:autoSpaceDN/>
        <w:bidi w:val="0"/>
        <w:adjustRightInd/>
        <w:snapToGrid/>
        <w:ind w:firstLine="616" w:firstLineChars="200"/>
        <w:textAlignment w:val="auto"/>
        <w:rPr>
          <w:rFonts w:hint="eastAsia" w:ascii="方正仿宋_GBK" w:hAnsi="方正仿宋_GBK" w:eastAsia="方正仿宋_GBK" w:cs="方正仿宋_GBK"/>
          <w:spacing w:val="1"/>
          <w:sz w:val="32"/>
          <w:szCs w:val="32"/>
          <w:lang w:eastAsia="zh-CN"/>
        </w:rPr>
      </w:pPr>
      <w:r>
        <w:rPr>
          <w:rFonts w:hint="eastAsia" w:ascii="方正仿宋_GBK" w:hAnsi="方正仿宋_GBK" w:eastAsia="方正仿宋_GBK" w:cs="方正仿宋_GBK"/>
          <w:spacing w:val="-6"/>
          <w:sz w:val="32"/>
          <w:szCs w:val="32"/>
          <w:lang w:val="en-US" w:eastAsia="zh-CN"/>
        </w:rPr>
        <w:t>2、供应商</w:t>
      </w:r>
      <w:r>
        <w:rPr>
          <w:rFonts w:hint="eastAsia" w:ascii="方正仿宋_GBK" w:hAnsi="方正仿宋_GBK" w:eastAsia="方正仿宋_GBK" w:cs="方正仿宋_GBK"/>
          <w:spacing w:val="-6"/>
          <w:sz w:val="32"/>
          <w:szCs w:val="32"/>
        </w:rPr>
        <w:t>危险废物运输，在危险废物转运出</w:t>
      </w:r>
      <w:r>
        <w:rPr>
          <w:rFonts w:hint="eastAsia" w:ascii="方正仿宋_GBK" w:hAnsi="方正仿宋_GBK" w:eastAsia="方正仿宋_GBK" w:cs="方正仿宋_GBK"/>
          <w:spacing w:val="-6"/>
          <w:sz w:val="32"/>
          <w:szCs w:val="32"/>
          <w:lang w:eastAsia="zh-CN"/>
        </w:rPr>
        <w:t>医院</w:t>
      </w:r>
      <w:r>
        <w:rPr>
          <w:rFonts w:hint="eastAsia" w:ascii="方正仿宋_GBK" w:hAnsi="方正仿宋_GBK" w:eastAsia="方正仿宋_GBK" w:cs="方正仿宋_GBK"/>
          <w:spacing w:val="-6"/>
          <w:sz w:val="32"/>
          <w:szCs w:val="32"/>
        </w:rPr>
        <w:t>工作区域之前，上车</w:t>
      </w:r>
      <w:r>
        <w:rPr>
          <w:rFonts w:hint="eastAsia" w:ascii="方正仿宋_GBK" w:hAnsi="方正仿宋_GBK" w:eastAsia="方正仿宋_GBK" w:cs="方正仿宋_GBK"/>
          <w:spacing w:val="1"/>
          <w:sz w:val="32"/>
          <w:szCs w:val="32"/>
        </w:rPr>
        <w:t>及运输过程中因</w:t>
      </w:r>
      <w:r>
        <w:rPr>
          <w:rFonts w:hint="eastAsia" w:ascii="方正仿宋_GBK" w:hAnsi="方正仿宋_GBK" w:eastAsia="方正仿宋_GBK" w:cs="方正仿宋_GBK"/>
          <w:spacing w:val="1"/>
          <w:sz w:val="32"/>
          <w:szCs w:val="32"/>
          <w:lang w:eastAsia="zh-CN"/>
        </w:rPr>
        <w:t>医院</w:t>
      </w:r>
      <w:r>
        <w:rPr>
          <w:rFonts w:hint="eastAsia" w:ascii="方正仿宋_GBK" w:hAnsi="方正仿宋_GBK" w:eastAsia="方正仿宋_GBK" w:cs="方正仿宋_GBK"/>
          <w:spacing w:val="1"/>
          <w:sz w:val="32"/>
          <w:szCs w:val="32"/>
        </w:rPr>
        <w:t>原因所导致的责任由</w:t>
      </w:r>
      <w:r>
        <w:rPr>
          <w:rFonts w:hint="eastAsia" w:ascii="方正仿宋_GBK" w:hAnsi="方正仿宋_GBK" w:eastAsia="方正仿宋_GBK" w:cs="方正仿宋_GBK"/>
          <w:spacing w:val="1"/>
          <w:sz w:val="32"/>
          <w:szCs w:val="32"/>
          <w:lang w:eastAsia="zh-CN"/>
        </w:rPr>
        <w:t>医院</w:t>
      </w:r>
      <w:r>
        <w:rPr>
          <w:rFonts w:hint="eastAsia" w:ascii="方正仿宋_GBK" w:hAnsi="方正仿宋_GBK" w:eastAsia="方正仿宋_GBK" w:cs="方正仿宋_GBK"/>
          <w:spacing w:val="1"/>
          <w:sz w:val="32"/>
          <w:szCs w:val="32"/>
        </w:rPr>
        <w:t>承担；危险废物转运出</w:t>
      </w:r>
      <w:r>
        <w:rPr>
          <w:rFonts w:hint="eastAsia" w:ascii="方正仿宋_GBK" w:hAnsi="方正仿宋_GBK" w:eastAsia="方正仿宋_GBK" w:cs="方正仿宋_GBK"/>
          <w:spacing w:val="1"/>
          <w:sz w:val="32"/>
          <w:szCs w:val="32"/>
          <w:lang w:eastAsia="zh-CN"/>
        </w:rPr>
        <w:t>医院的</w:t>
      </w:r>
      <w:r>
        <w:rPr>
          <w:rFonts w:hint="eastAsia" w:ascii="方正仿宋_GBK" w:hAnsi="方正仿宋_GBK" w:eastAsia="方正仿宋_GBK" w:cs="方正仿宋_GBK"/>
          <w:spacing w:val="1"/>
          <w:sz w:val="32"/>
          <w:szCs w:val="32"/>
        </w:rPr>
        <w:t>工作区域后，在运输、贮存及处置过程中发生违法行为所导致的责任由</w:t>
      </w:r>
      <w:r>
        <w:rPr>
          <w:rFonts w:hint="eastAsia" w:ascii="方正仿宋_GBK" w:hAnsi="方正仿宋_GBK" w:eastAsia="方正仿宋_GBK" w:cs="方正仿宋_GBK"/>
          <w:spacing w:val="1"/>
          <w:sz w:val="32"/>
          <w:szCs w:val="32"/>
          <w:lang w:eastAsia="zh-CN"/>
        </w:rPr>
        <w:t>接收方</w:t>
      </w:r>
      <w:r>
        <w:rPr>
          <w:rFonts w:hint="eastAsia" w:ascii="方正仿宋_GBK" w:hAnsi="方正仿宋_GBK" w:eastAsia="方正仿宋_GBK" w:cs="方正仿宋_GBK"/>
          <w:spacing w:val="1"/>
          <w:sz w:val="32"/>
          <w:szCs w:val="32"/>
        </w:rPr>
        <w:t>承担</w:t>
      </w:r>
      <w:r>
        <w:rPr>
          <w:rFonts w:hint="eastAsia" w:ascii="方正仿宋_GBK" w:hAnsi="方正仿宋_GBK" w:eastAsia="方正仿宋_GBK" w:cs="方正仿宋_GBK"/>
          <w:spacing w:val="1"/>
          <w:sz w:val="32"/>
          <w:szCs w:val="32"/>
          <w:lang w:eastAsia="zh-CN"/>
        </w:rPr>
        <w:t>。</w:t>
      </w:r>
    </w:p>
    <w:p w14:paraId="3ACD7A99">
      <w:pPr>
        <w:keepNext w:val="0"/>
        <w:keepLines w:val="0"/>
        <w:pageBreakBefore w:val="0"/>
        <w:widowControl w:val="0"/>
        <w:numPr>
          <w:ilvl w:val="0"/>
          <w:numId w:val="0"/>
        </w:numPr>
        <w:kinsoku/>
        <w:wordWrap/>
        <w:overflowPunct/>
        <w:topLinePunct w:val="0"/>
        <w:autoSpaceDE/>
        <w:autoSpaceDN/>
        <w:bidi w:val="0"/>
        <w:adjustRightInd/>
        <w:snapToGrid/>
        <w:ind w:firstLine="647" w:firstLineChars="200"/>
        <w:textAlignment w:val="auto"/>
        <w:rPr>
          <w:rFonts w:hint="eastAsia" w:ascii="方正仿宋_GBK" w:hAnsi="方正仿宋_GBK" w:eastAsia="方正仿宋_GBK" w:cs="方正仿宋_GBK"/>
          <w:b/>
          <w:bCs/>
          <w:spacing w:val="1"/>
          <w:sz w:val="32"/>
          <w:szCs w:val="32"/>
          <w:lang w:val="en-US" w:eastAsia="zh-CN"/>
        </w:rPr>
      </w:pPr>
      <w:r>
        <w:rPr>
          <w:rFonts w:hint="eastAsia" w:ascii="方正仿宋_GBK" w:hAnsi="方正仿宋_GBK" w:eastAsia="方正仿宋_GBK" w:cs="方正仿宋_GBK"/>
          <w:b/>
          <w:bCs/>
          <w:spacing w:val="1"/>
          <w:sz w:val="32"/>
          <w:szCs w:val="32"/>
          <w:lang w:eastAsia="zh-CN"/>
        </w:rPr>
        <w:t>（</w:t>
      </w:r>
      <w:r>
        <w:rPr>
          <w:rFonts w:hint="eastAsia" w:ascii="方正仿宋_GBK" w:hAnsi="方正仿宋_GBK" w:eastAsia="方正仿宋_GBK" w:cs="方正仿宋_GBK"/>
          <w:b/>
          <w:bCs/>
          <w:spacing w:val="1"/>
          <w:sz w:val="32"/>
          <w:szCs w:val="32"/>
          <w:lang w:val="en-US" w:eastAsia="zh-CN"/>
        </w:rPr>
        <w:t>七</w:t>
      </w:r>
      <w:r>
        <w:rPr>
          <w:rFonts w:hint="eastAsia" w:ascii="方正仿宋_GBK" w:hAnsi="方正仿宋_GBK" w:eastAsia="方正仿宋_GBK" w:cs="方正仿宋_GBK"/>
          <w:b/>
          <w:bCs/>
          <w:spacing w:val="1"/>
          <w:sz w:val="32"/>
          <w:szCs w:val="32"/>
          <w:lang w:eastAsia="zh-CN"/>
        </w:rPr>
        <w:t>）危险废物类别及预估重量：</w:t>
      </w:r>
    </w:p>
    <w:p w14:paraId="3ED3D879">
      <w:pPr>
        <w:keepNext w:val="0"/>
        <w:keepLines w:val="0"/>
        <w:pageBreakBefore w:val="0"/>
        <w:widowControl w:val="0"/>
        <w:numPr>
          <w:ilvl w:val="0"/>
          <w:numId w:val="0"/>
        </w:numPr>
        <w:kinsoku/>
        <w:wordWrap/>
        <w:overflowPunct/>
        <w:topLinePunct w:val="0"/>
        <w:autoSpaceDE/>
        <w:autoSpaceDN/>
        <w:bidi w:val="0"/>
        <w:adjustRightInd/>
        <w:snapToGrid/>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1、预估危险废物类别有：实验室废液、废活性炭、废弃手术植入物。</w:t>
      </w:r>
    </w:p>
    <w:p w14:paraId="4722163C">
      <w:pPr>
        <w:keepNext w:val="0"/>
        <w:keepLines w:val="0"/>
        <w:pageBreakBefore w:val="0"/>
        <w:widowControl w:val="0"/>
        <w:numPr>
          <w:ilvl w:val="0"/>
          <w:numId w:val="0"/>
        </w:numPr>
        <w:kinsoku/>
        <w:wordWrap/>
        <w:overflowPunct/>
        <w:topLinePunct w:val="0"/>
        <w:autoSpaceDE/>
        <w:autoSpaceDN/>
        <w:bidi w:val="0"/>
        <w:adjustRightInd/>
        <w:snapToGrid/>
        <w:ind w:firstLine="644" w:firstLineChars="200"/>
        <w:textAlignment w:val="auto"/>
        <w:rPr>
          <w:rFonts w:hint="default"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2、预估重量合计在4吨左右，据实结算。</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报价要求：本次报价为人民币包干价，包含：转运费、人工费、装卸费、废物处理费、配套设备及工具、服务期间安全保险费、危险废物管理培训费、资料装订及邮寄费、人工住宿差旅费、税费、称重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en-US" w:eastAsia="zh-CN"/>
        </w:rPr>
        <w:t>服务期3年，供应商接到采购人通知后1天内来院处置，特殊情况采购人与供应商在合同洽谈时另行约定。转运物品重量需双方签字认可。</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成交供应商在采购公示结束后20日内与采购人签订采购合同和廉政购销协议。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转运完成验收合格后实时结算全额支付，付款时供应商须提交全额发票、培训记录、验收记录。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（1）按照询价文件和投标文件逐项验收；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5F2FF4D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供应商为采购人提供技术援助电话，在30分钟内响应解答采购人在使用中遇到的问题，及时为采购人提出解决问题的建议。现场响应：采购人遇到使用及技术问题，电话咨询不能解决的，成交供应商或制造商应在4小时内派专业技术人员到达现场进行处理。</w:t>
      </w:r>
    </w:p>
    <w:p w14:paraId="233CC80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（2）服务期届满后，成交供应商应同样提供免费电话咨询服务，解答服务相关咨询。</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来院处置，延迟每日支付产品价款千分之三的违约金，超过5日未能履约，采购人有权解除合同；验收不合格采购人有权要求供应商整改，整改期限为2日，整改期限届满仍未完成的供应商每日支付产品价款千分之三的违约金，超过5日未能完成整改，采购人有权解除合同；使用中发现供应商提供的服务有安全隐患问题，供应商应立即整改，如对采购人造成的损失进行全额赔偿，同时采购人有权解除合同；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分公司投标应取得总公司的授权；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68E641A1">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10.项目服务方案承诺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1EF6DA54">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653B44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lang w:val="en-US" w:eastAsia="zh-CN"/>
        </w:rPr>
        <w:t>市场监督管理局审核发放的营业执照，许可项目明确危险废物经营；重庆市生态环境局审批发放的《危险废物经营许可证》，核准经营方式有：收集、贮存、处置（物化、焚烧及填埋），证件在有效期内；国家现行或更新的法律法规要求的必须具备的资格要求。</w:t>
      </w:r>
    </w:p>
    <w:p w14:paraId="6AB0A7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F9C7A61">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237057793"/>
      <w:bookmarkStart w:id="2" w:name="_Toc173677399"/>
      <w:bookmarkStart w:id="3" w:name="_Toc175017344"/>
      <w:bookmarkStart w:id="4" w:name="_Toc156196472"/>
      <w:bookmarkStart w:id="5" w:name="_Toc128229747"/>
      <w:bookmarkStart w:id="6" w:name="_Toc128229304"/>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1．愿意按照询价采购文件中的一切要求，提供本项目的产品，总折扣率为：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%，（成交价=折扣率乘以单价）</w:t>
      </w:r>
      <w:r>
        <w:rPr>
          <w:rFonts w:hint="eastAsia" w:ascii="方正仿宋_GBK" w:hAnsi="方正仿宋_GBK" w:eastAsia="方正仿宋_GBK" w:cs="方正仿宋_GBK"/>
          <w:sz w:val="32"/>
          <w:szCs w:val="32"/>
          <w:lang w:val="en-US" w:eastAsia="zh-CN"/>
        </w:rPr>
        <w:t>。</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7"/>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443C2C04">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7B1AFE3A">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536F08D9">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1570C41A">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十、项目服务方案</w:t>
      </w:r>
      <w:r>
        <w:rPr>
          <w:rFonts w:hint="eastAsia" w:ascii="方正仿宋_GBK" w:hAnsi="方正仿宋_GBK" w:eastAsia="方正仿宋_GBK" w:cs="方正仿宋_GBK"/>
          <w:b/>
          <w:bCs/>
          <w:sz w:val="32"/>
          <w:szCs w:val="32"/>
        </w:rPr>
        <w:t>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项目服务方案</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lang w:val="en-US" w:eastAsia="zh-CN"/>
        </w:rPr>
        <w:t>服务</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宋体"/>
          <w:sz w:val="30"/>
          <w:szCs w:val="30"/>
          <w:lang w:eastAsia="zh-CN"/>
        </w:rPr>
        <w:t>、</w:t>
      </w:r>
      <w:r>
        <w:rPr>
          <w:rFonts w:hint="eastAsia" w:ascii="微软雅黑" w:hAnsi="微软雅黑" w:eastAsia="微软雅黑" w:cs="宋体"/>
          <w:sz w:val="30"/>
          <w:szCs w:val="30"/>
          <w:lang w:val="en-US" w:eastAsia="zh-CN"/>
        </w:rPr>
        <w:t>应急处置、遵守医院规章制度</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C9F53B8B"/>
    <w:multiLevelType w:val="singleLevel"/>
    <w:tmpl w:val="C9F53B8B"/>
    <w:lvl w:ilvl="0" w:tentative="0">
      <w:start w:val="1"/>
      <w:numFmt w:val="decimal"/>
      <w:suff w:val="nothing"/>
      <w:lvlText w:val="%1、"/>
      <w:lvlJc w:val="left"/>
    </w:lvl>
  </w:abstractNum>
  <w:abstractNum w:abstractNumId="2">
    <w:nsid w:val="E3B0C2FF"/>
    <w:multiLevelType w:val="singleLevel"/>
    <w:tmpl w:val="E3B0C2FF"/>
    <w:lvl w:ilvl="0" w:tentative="0">
      <w:start w:val="1"/>
      <w:numFmt w:val="decimal"/>
      <w:suff w:val="nothing"/>
      <w:lvlText w:val="%1、"/>
      <w:lvlJc w:val="left"/>
    </w:lvl>
  </w:abstractNum>
  <w:abstractNum w:abstractNumId="3">
    <w:nsid w:val="02B78398"/>
    <w:multiLevelType w:val="singleLevel"/>
    <w:tmpl w:val="02B78398"/>
    <w:lvl w:ilvl="0" w:tentative="0">
      <w:start w:val="1"/>
      <w:numFmt w:val="decimal"/>
      <w:suff w:val="nothing"/>
      <w:lvlText w:val="%1、"/>
      <w:lvlJc w:val="left"/>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5DA151E"/>
    <w:multiLevelType w:val="singleLevel"/>
    <w:tmpl w:val="75DA151E"/>
    <w:lvl w:ilvl="0" w:tentative="0">
      <w:start w:val="1"/>
      <w:numFmt w:val="decimal"/>
      <w:suff w:val="nothing"/>
      <w:lvlText w:val="%1、"/>
      <w:lvlJc w:val="left"/>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29B0B3B"/>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2A67434"/>
    <w:rsid w:val="44C5770F"/>
    <w:rsid w:val="44EF71C4"/>
    <w:rsid w:val="475D7492"/>
    <w:rsid w:val="482D6FF9"/>
    <w:rsid w:val="496140CE"/>
    <w:rsid w:val="4AE139DB"/>
    <w:rsid w:val="4BDB0A24"/>
    <w:rsid w:val="4C31315D"/>
    <w:rsid w:val="4F6D75ED"/>
    <w:rsid w:val="51352B6B"/>
    <w:rsid w:val="53A17F68"/>
    <w:rsid w:val="53DB6C22"/>
    <w:rsid w:val="56D824D6"/>
    <w:rsid w:val="5E932E93"/>
    <w:rsid w:val="5FA4498B"/>
    <w:rsid w:val="61130716"/>
    <w:rsid w:val="61143219"/>
    <w:rsid w:val="61707CCC"/>
    <w:rsid w:val="626B6216"/>
    <w:rsid w:val="67CF5844"/>
    <w:rsid w:val="69D01878"/>
    <w:rsid w:val="6A0A643D"/>
    <w:rsid w:val="6A1F4430"/>
    <w:rsid w:val="6B247663"/>
    <w:rsid w:val="6D38732A"/>
    <w:rsid w:val="6DD05A39"/>
    <w:rsid w:val="6EC6360F"/>
    <w:rsid w:val="713118C3"/>
    <w:rsid w:val="71C02C3F"/>
    <w:rsid w:val="72BB5C94"/>
    <w:rsid w:val="732B3BA9"/>
    <w:rsid w:val="7560752F"/>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5483</Words>
  <Characters>5633</Characters>
  <Lines>0</Lines>
  <Paragraphs>0</Paragraphs>
  <TotalTime>59</TotalTime>
  <ScaleCrop>false</ScaleCrop>
  <LinksUpToDate>false</LinksUpToDate>
  <CharactersWithSpaces>6299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2024-09-11T07:15:18Z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